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78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桔楼皮提取物灌胃给药,对血清的蛋白酶抑制剂活性无明显改变，其中可能不含蛋白酶抑制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剂的活性成分。（图</w:t>
      </w:r>
      <w:r>
        <w:rPr>
          <w:color w:val="000000"/>
          <w:spacing w:val="0"/>
          <w:w w:val="100"/>
          <w:position w:val="0"/>
          <w:sz w:val="24"/>
          <w:szCs w:val="24"/>
        </w:rPr>
        <w:t>6）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353310" cy="14871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53310" cy="1487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图</w:t>
      </w:r>
      <w:r>
        <w:rPr>
          <w:color w:val="000000"/>
          <w:spacing w:val="0"/>
          <w:w w:val="100"/>
          <w:position w:val="0"/>
          <w:lang w:val="zh-CN" w:eastAsia="zh-CN" w:bidi="zh-CN"/>
        </w:rPr>
        <w:t>6</w:t>
      </w:r>
      <w:r>
        <w:rPr>
          <w:color w:val="000000"/>
          <w:spacing w:val="0"/>
          <w:w w:val="100"/>
          <w:position w:val="0"/>
        </w:rPr>
        <w:t>桔楼皮提取物灌胃给药后血清蛋白酶抑制剂活性变化</w:t>
      </w:r>
    </w:p>
    <w:p>
      <w:pPr>
        <w:widowControl w:val="0"/>
        <w:spacing w:after="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481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</w:rPr>
        <w:t>讨论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7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蛋白酶抑制剂种类很多，其结构和活性不同在大鼠体内代谢方式、速度、峰值均不 相同，测定给药后血中蛋白酶抑制率,可预测蛋白酶抑制剂在体内的代谢与消除，为进一步的 药代动力学参数的估计提供依据。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48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实验结果表明，正常血中有一定的蛋白酶抑制剂，中药蛋白酶抑制剂可以经消化吸收后 进入体内，提高血中蛋白酶抑制剂活性，这一结果,证实了中药的蛋白酶抑制剂的作用，为进 一步研究中药中的蛋白酶抑制剂提供了依据，但不同的中药中蛋白酶酶抑制剂的成分及其含 量和活性不同，消除的速率也不相同，各种中药所含蛋白酶抑制剂的化学本质还有待进一步 研究证实。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体感振动音乐疗法改善睡眠障碍的实验研究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孔晶刘伟韩标'刘国玲高福云魏育林②</w:t>
        <w:br/>
        <w:t>中日友好医院临床医学研究所中心实验室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79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音乐治疗是利用音乐聆听和音乐体验的各种形式，来实现对患者的干预。而体感振动音 乐疗法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（vibroacoustic therapy,</w:t>
      </w:r>
      <w:r>
        <w:rPr>
          <w:color w:val="000000"/>
          <w:spacing w:val="0"/>
          <w:w w:val="100"/>
          <w:position w:val="0"/>
        </w:rPr>
        <w:t>简称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VA</w:t>
      </w:r>
      <w:r>
        <w:rPr>
          <w:color w:val="000000"/>
          <w:spacing w:val="0"/>
          <w:w w:val="100"/>
          <w:position w:val="0"/>
        </w:rPr>
        <w:t>疗法）是音乐治疗中一种新兴的疗法。其原理是 通过体感音响设施，将音乐中的低频部分转换成物理振动作用于人体，使人在聆听音乐的同 时也能感受到音乐的声波振动，丰富对音乐的感知，以期达到提高音乐治疗效果的目的 由于针对睡眠障碍的药物治疗有不良反应及成瘾性，因此非药物疗法的研究就很重要。本研 究将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VA</w:t>
      </w:r>
      <w:r>
        <w:rPr>
          <w:color w:val="000000"/>
          <w:spacing w:val="0"/>
          <w:w w:val="100"/>
          <w:position w:val="0"/>
        </w:rPr>
        <w:t>疗法运用于有睡眠障碍的患者，观察其对睡眠障碍及相关身心症状的治疗效果。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7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对象与方法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479" w:lineRule="exact"/>
        <w:ind w:left="0" w:right="0" w:firstLine="0"/>
        <w:jc w:val="both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82" w:right="1406" w:bottom="1237" w:left="78" w:header="0" w:footer="3" w:gutter="0"/>
          <w:pgNumType w:start="27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1.1</w:t>
      </w:r>
      <w:r>
        <w:rPr>
          <w:color w:val="000000"/>
          <w:spacing w:val="0"/>
          <w:w w:val="100"/>
          <w:position w:val="0"/>
        </w:rPr>
        <w:t>对象及分组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94" w:lineRule="exact"/>
        <w:ind w:left="54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2005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-2005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</w:rPr>
        <w:t>月间，在某医院按科室整群抽样抽出</w:t>
      </w:r>
      <w:r>
        <w:rPr>
          <w:color w:val="000000"/>
          <w:spacing w:val="0"/>
          <w:w w:val="100"/>
          <w:position w:val="0"/>
          <w:sz w:val="24"/>
          <w:szCs w:val="24"/>
        </w:rPr>
        <w:t>640</w:t>
      </w:r>
      <w:r>
        <w:rPr>
          <w:color w:val="000000"/>
          <w:spacing w:val="0"/>
          <w:w w:val="100"/>
          <w:position w:val="0"/>
        </w:rPr>
        <w:t>名员工，釆用匹兹堡 睡眠质量指数量表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（PSQI）</w:t>
      </w:r>
      <w:r>
        <w:rPr>
          <w:color w:val="000000"/>
          <w:spacing w:val="0"/>
          <w:w w:val="100"/>
          <w:position w:val="0"/>
        </w:rPr>
        <w:t>对其进行睡眠状况调査。结果共有</w:t>
      </w:r>
      <w:r>
        <w:rPr>
          <w:color w:val="000000"/>
          <w:spacing w:val="0"/>
          <w:w w:val="100"/>
          <w:position w:val="0"/>
          <w:sz w:val="24"/>
          <w:szCs w:val="24"/>
        </w:rPr>
        <w:t>167</w:t>
      </w:r>
      <w:r>
        <w:rPr>
          <w:color w:val="000000"/>
          <w:spacing w:val="0"/>
          <w:w w:val="100"/>
          <w:position w:val="0"/>
        </w:rPr>
        <w:t>人存在睡眠障碍，经排除 重大躯体及神经精神疾病，</w:t>
      </w:r>
      <w:r>
        <w:rPr>
          <w:color w:val="000000"/>
          <w:spacing w:val="0"/>
          <w:w w:val="100"/>
          <w:position w:val="0"/>
          <w:sz w:val="24"/>
          <w:szCs w:val="24"/>
        </w:rPr>
        <w:t>164</w:t>
      </w:r>
      <w:r>
        <w:rPr>
          <w:color w:val="000000"/>
          <w:spacing w:val="0"/>
          <w:w w:val="100"/>
          <w:position w:val="0"/>
        </w:rPr>
        <w:t>例睡眠障碍者纳入研究，其中男性</w:t>
      </w:r>
      <w:r>
        <w:rPr>
          <w:color w:val="000000"/>
          <w:spacing w:val="0"/>
          <w:w w:val="100"/>
          <w:position w:val="0"/>
          <w:sz w:val="24"/>
          <w:szCs w:val="24"/>
        </w:rPr>
        <w:t>19</w:t>
      </w:r>
      <w:r>
        <w:rPr>
          <w:color w:val="000000"/>
          <w:spacing w:val="0"/>
          <w:w w:val="100"/>
          <w:position w:val="0"/>
        </w:rPr>
        <w:t>例，女性</w:t>
      </w:r>
      <w:r>
        <w:rPr>
          <w:color w:val="000000"/>
          <w:spacing w:val="0"/>
          <w:w w:val="100"/>
          <w:position w:val="0"/>
          <w:sz w:val="24"/>
          <w:szCs w:val="24"/>
        </w:rPr>
        <w:t>145</w:t>
      </w:r>
      <w:r>
        <w:rPr>
          <w:color w:val="000000"/>
          <w:spacing w:val="0"/>
          <w:w w:val="100"/>
          <w:position w:val="0"/>
        </w:rPr>
        <w:t xml:space="preserve">例，年龄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21—58</w:t>
      </w:r>
      <w:r>
        <w:rPr>
          <w:color w:val="000000"/>
          <w:spacing w:val="0"/>
          <w:w w:val="100"/>
          <w:position w:val="0"/>
        </w:rPr>
        <w:t>岁，平均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38. </w:t>
      </w:r>
      <w:r>
        <w:rPr>
          <w:color w:val="000000"/>
          <w:spacing w:val="0"/>
          <w:w w:val="100"/>
          <w:position w:val="0"/>
          <w:sz w:val="24"/>
          <w:szCs w:val="24"/>
        </w:rPr>
        <w:t>63±7.83</w:t>
      </w:r>
      <w:r>
        <w:rPr>
          <w:color w:val="000000"/>
          <w:spacing w:val="0"/>
          <w:w w:val="100"/>
          <w:position w:val="0"/>
        </w:rPr>
        <w:t>岁。受教育年限平均</w:t>
      </w:r>
      <w:r>
        <w:rPr>
          <w:color w:val="000000"/>
          <w:spacing w:val="0"/>
          <w:w w:val="100"/>
          <w:position w:val="0"/>
          <w:sz w:val="24"/>
          <w:szCs w:val="24"/>
        </w:rPr>
        <w:t>15.0±2.65</w:t>
      </w:r>
      <w:r>
        <w:rPr>
          <w:color w:val="000000"/>
          <w:spacing w:val="0"/>
          <w:w w:val="100"/>
          <w:position w:val="0"/>
        </w:rPr>
        <w:t>。按简单随机法将他们分为 治疗组</w:t>
      </w:r>
      <w:r>
        <w:rPr>
          <w:color w:val="000000"/>
          <w:spacing w:val="0"/>
          <w:w w:val="100"/>
          <w:position w:val="0"/>
          <w:sz w:val="24"/>
          <w:szCs w:val="24"/>
        </w:rPr>
        <w:t>80</w:t>
      </w:r>
      <w:r>
        <w:rPr>
          <w:color w:val="000000"/>
          <w:spacing w:val="0"/>
          <w:w w:val="100"/>
          <w:position w:val="0"/>
        </w:rPr>
        <w:t>例和对照组</w:t>
      </w:r>
      <w:r>
        <w:rPr>
          <w:color w:val="000000"/>
          <w:spacing w:val="0"/>
          <w:w w:val="100"/>
          <w:position w:val="0"/>
          <w:sz w:val="24"/>
          <w:szCs w:val="24"/>
        </w:rPr>
        <w:t>84</w:t>
      </w:r>
      <w:r>
        <w:rPr>
          <w:color w:val="000000"/>
          <w:spacing w:val="0"/>
          <w:w w:val="100"/>
          <w:position w:val="0"/>
        </w:rPr>
        <w:t>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94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1.2</w:t>
      </w:r>
      <w:r>
        <w:rPr>
          <w:color w:val="000000"/>
          <w:spacing w:val="0"/>
          <w:w w:val="100"/>
          <w:position w:val="0"/>
        </w:rPr>
        <w:t>方法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94" w:lineRule="exact"/>
        <w:ind w:left="54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1.2.1</w:t>
      </w:r>
      <w:r>
        <w:rPr>
          <w:color w:val="000000"/>
          <w:spacing w:val="0"/>
          <w:w w:val="100"/>
          <w:position w:val="0"/>
        </w:rPr>
        <w:t>研究工具自制一般情况调査表：包括年龄、婚姻、岗位和受教育年限等；匹兹堡睡 眠质量指数量表：常用的主观睡眠状况调査工具，用于对睡眠状况进行评估，国内大多以总 分</w:t>
      </w:r>
      <w:r>
        <w:rPr>
          <w:color w:val="000000"/>
          <w:spacing w:val="0"/>
          <w:w w:val="100"/>
          <w:position w:val="0"/>
          <w:sz w:val="24"/>
          <w:szCs w:val="24"/>
        </w:rPr>
        <w:t>&gt;7</w:t>
      </w:r>
      <w:r>
        <w:rPr>
          <w:color w:val="000000"/>
          <w:spacing w:val="0"/>
          <w:w w:val="100"/>
          <w:position w:val="0"/>
        </w:rPr>
        <w:t>作为睡眠障碍的划界分②；症状自评量表：用于对研究对象的心理症状及部分躯体症 状的评定气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1.2.2</w:t>
      </w:r>
      <w:r>
        <w:rPr>
          <w:color w:val="000000"/>
          <w:spacing w:val="0"/>
          <w:w w:val="100"/>
          <w:position w:val="0"/>
        </w:rPr>
        <w:t>治疗方法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540" w:right="0" w:firstLine="420"/>
        <w:jc w:val="both"/>
      </w:pPr>
      <w:r>
        <w:rPr>
          <w:color w:val="000000"/>
          <w:spacing w:val="0"/>
          <w:w w:val="100"/>
          <w:position w:val="0"/>
        </w:rPr>
        <w:t>所有对象在入组时通过讲座的方式进行睡眠健康宣教，并发放《健康教育手册》供自学。 治疗组另给予音乐体感振动治疗:釆用专门研制的宫调体感音乐，在专门的音乐治疗室进行, 每次</w:t>
      </w:r>
      <w:r>
        <w:rPr>
          <w:color w:val="000000"/>
          <w:spacing w:val="0"/>
          <w:w w:val="100"/>
          <w:position w:val="0"/>
          <w:sz w:val="24"/>
          <w:szCs w:val="24"/>
        </w:rPr>
        <w:t>40</w:t>
      </w:r>
      <w:r>
        <w:rPr>
          <w:color w:val="000000"/>
          <w:spacing w:val="0"/>
          <w:w w:val="100"/>
          <w:position w:val="0"/>
        </w:rPr>
        <w:t>分钟，</w:t>
      </w:r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次/周，共治疗</w:t>
      </w:r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周。对照组则嘱其按照《健康教育手册》进行自我调节。 治疗前后所有对象均进行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PSQI</w:t>
      </w:r>
      <w:r>
        <w:rPr>
          <w:color w:val="000000"/>
          <w:spacing w:val="0"/>
          <w:w w:val="100"/>
          <w:position w:val="0"/>
        </w:rPr>
        <w:t>和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SCL-90</w:t>
      </w:r>
      <w:r>
        <w:rPr>
          <w:color w:val="000000"/>
          <w:spacing w:val="0"/>
          <w:w w:val="100"/>
          <w:position w:val="0"/>
        </w:rPr>
        <w:t>量表的评定。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1.2.3</w:t>
      </w:r>
      <w:r>
        <w:rPr>
          <w:color w:val="000000"/>
          <w:spacing w:val="0"/>
          <w:w w:val="100"/>
          <w:position w:val="0"/>
        </w:rPr>
        <w:t>统计学处理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540" w:right="0" w:firstLine="420"/>
        <w:jc w:val="both"/>
      </w:pPr>
      <w:r>
        <w:rPr>
          <w:color w:val="000000"/>
          <w:spacing w:val="0"/>
          <w:w w:val="100"/>
          <w:position w:val="0"/>
        </w:rPr>
        <w:t>使用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SPSS12. </w:t>
      </w:r>
      <w:r>
        <w:rPr>
          <w:color w:val="000000"/>
          <w:spacing w:val="0"/>
          <w:w w:val="100"/>
          <w:position w:val="0"/>
          <w:sz w:val="24"/>
          <w:szCs w:val="24"/>
        </w:rPr>
        <w:t>0</w:t>
      </w:r>
      <w:r>
        <w:rPr>
          <w:color w:val="000000"/>
          <w:spacing w:val="0"/>
          <w:w w:val="100"/>
          <w:position w:val="0"/>
        </w:rPr>
        <w:t>软件进行独立样本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检验和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Spearman</w:t>
      </w:r>
      <w:r>
        <w:rPr>
          <w:color w:val="000000"/>
          <w:spacing w:val="0"/>
          <w:w w:val="100"/>
          <w:position w:val="0"/>
        </w:rPr>
        <w:t>相关性分析。显著性水平为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P&lt;0. </w:t>
      </w:r>
      <w:r>
        <w:rPr>
          <w:color w:val="000000"/>
          <w:spacing w:val="0"/>
          <w:w w:val="100"/>
          <w:position w:val="0"/>
          <w:sz w:val="24"/>
          <w:szCs w:val="24"/>
        </w:rPr>
        <w:t>05</w:t>
      </w:r>
      <w:r>
        <w:rPr>
          <w:color w:val="000000"/>
          <w:spacing w:val="0"/>
          <w:w w:val="100"/>
          <w:position w:val="0"/>
        </w:rPr>
        <w:t xml:space="preserve">。 </w:t>
      </w:r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结果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1 </w:t>
      </w:r>
      <w:r>
        <w:rPr>
          <w:color w:val="000000"/>
          <w:spacing w:val="0"/>
          <w:w w:val="100"/>
          <w:position w:val="0"/>
        </w:rPr>
        <w:t>一般资料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420" w:lineRule="exact"/>
        <w:ind w:left="540" w:right="0" w:firstLine="420"/>
        <w:jc w:val="both"/>
      </w:pPr>
      <w:r>
        <w:rPr>
          <w:color w:val="000000"/>
          <w:spacing w:val="0"/>
          <w:w w:val="100"/>
          <w:position w:val="0"/>
        </w:rPr>
        <w:t>治疗组男性</w:t>
      </w:r>
      <w:r>
        <w:rPr>
          <w:color w:val="000000"/>
          <w:spacing w:val="0"/>
          <w:w w:val="100"/>
          <w:position w:val="0"/>
          <w:sz w:val="24"/>
          <w:szCs w:val="24"/>
        </w:rPr>
        <w:t>10</w:t>
      </w:r>
      <w:r>
        <w:rPr>
          <w:color w:val="000000"/>
          <w:spacing w:val="0"/>
          <w:w w:val="100"/>
          <w:position w:val="0"/>
        </w:rPr>
        <w:t>人，女性</w:t>
      </w:r>
      <w:r>
        <w:rPr>
          <w:color w:val="000000"/>
          <w:spacing w:val="0"/>
          <w:w w:val="100"/>
          <w:position w:val="0"/>
          <w:sz w:val="24"/>
          <w:szCs w:val="24"/>
        </w:rPr>
        <w:t>70</w:t>
      </w:r>
      <w:r>
        <w:rPr>
          <w:color w:val="000000"/>
          <w:spacing w:val="0"/>
          <w:w w:val="100"/>
          <w:position w:val="0"/>
        </w:rPr>
        <w:t>人；年龄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38.7+8.</w:t>
      </w:r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岁；已婚</w:t>
      </w:r>
      <w:r>
        <w:rPr>
          <w:color w:val="000000"/>
          <w:spacing w:val="0"/>
          <w:w w:val="100"/>
          <w:position w:val="0"/>
          <w:sz w:val="24"/>
          <w:szCs w:val="24"/>
        </w:rPr>
        <w:t>71</w:t>
      </w:r>
      <w:r>
        <w:rPr>
          <w:color w:val="000000"/>
          <w:spacing w:val="0"/>
          <w:w w:val="100"/>
          <w:position w:val="0"/>
        </w:rPr>
        <w:t>人，未婚</w:t>
      </w:r>
      <w:r>
        <w:rPr>
          <w:color w:val="000000"/>
          <w:spacing w:val="0"/>
          <w:w w:val="100"/>
          <w:position w:val="0"/>
          <w:sz w:val="24"/>
          <w:szCs w:val="24"/>
        </w:rPr>
        <w:t>15</w:t>
      </w:r>
      <w:r>
        <w:rPr>
          <w:color w:val="000000"/>
          <w:spacing w:val="0"/>
          <w:w w:val="100"/>
          <w:position w:val="0"/>
        </w:rPr>
        <w:t>人，离异</w:t>
      </w:r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人; 受教育年限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15.</w:t>
      </w:r>
      <w:r>
        <w:rPr>
          <w:color w:val="000000"/>
          <w:spacing w:val="0"/>
          <w:w w:val="100"/>
          <w:position w:val="0"/>
          <w:sz w:val="24"/>
          <w:szCs w:val="24"/>
        </w:rPr>
        <w:t>1±2.7</w:t>
      </w:r>
      <w:r>
        <w:rPr>
          <w:color w:val="000000"/>
          <w:spacing w:val="0"/>
          <w:w w:val="100"/>
          <w:position w:val="0"/>
        </w:rPr>
        <w:t>年。对照组男性</w:t>
      </w:r>
      <w:r>
        <w:rPr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</w:rPr>
        <w:t>人，女性</w:t>
      </w:r>
      <w:r>
        <w:rPr>
          <w:color w:val="000000"/>
          <w:spacing w:val="0"/>
          <w:w w:val="100"/>
          <w:position w:val="0"/>
          <w:sz w:val="24"/>
          <w:szCs w:val="24"/>
        </w:rPr>
        <w:t>75</w:t>
      </w:r>
      <w:r>
        <w:rPr>
          <w:color w:val="000000"/>
          <w:spacing w:val="0"/>
          <w:w w:val="100"/>
          <w:position w:val="0"/>
        </w:rPr>
        <w:t>人；年龄</w:t>
      </w:r>
      <w:r>
        <w:rPr>
          <w:color w:val="000000"/>
          <w:spacing w:val="0"/>
          <w:w w:val="100"/>
          <w:position w:val="0"/>
          <w:sz w:val="24"/>
          <w:szCs w:val="24"/>
        </w:rPr>
        <w:t>38.5±7.8</w:t>
      </w:r>
      <w:r>
        <w:rPr>
          <w:color w:val="000000"/>
          <w:spacing w:val="0"/>
          <w:w w:val="100"/>
          <w:position w:val="0"/>
        </w:rPr>
        <w:t>岁，已婚</w:t>
      </w:r>
      <w:r>
        <w:rPr>
          <w:color w:val="000000"/>
          <w:spacing w:val="0"/>
          <w:w w:val="100"/>
          <w:position w:val="0"/>
          <w:sz w:val="24"/>
          <w:szCs w:val="24"/>
        </w:rPr>
        <w:t>66</w:t>
      </w:r>
      <w:r>
        <w:rPr>
          <w:color w:val="000000"/>
          <w:spacing w:val="0"/>
          <w:w w:val="100"/>
          <w:position w:val="0"/>
        </w:rPr>
        <w:t>人， 未婚</w:t>
      </w:r>
      <w:r>
        <w:rPr>
          <w:color w:val="000000"/>
          <w:spacing w:val="0"/>
          <w:w w:val="100"/>
          <w:position w:val="0"/>
          <w:sz w:val="24"/>
          <w:szCs w:val="24"/>
        </w:rPr>
        <w:t>15</w:t>
      </w:r>
      <w:r>
        <w:rPr>
          <w:color w:val="000000"/>
          <w:spacing w:val="0"/>
          <w:w w:val="100"/>
          <w:position w:val="0"/>
        </w:rPr>
        <w:t>人，离异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</w:rPr>
        <w:t>人;受教育年限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14.</w:t>
      </w:r>
      <w:r>
        <w:rPr>
          <w:color w:val="000000"/>
          <w:spacing w:val="0"/>
          <w:w w:val="100"/>
          <w:position w:val="0"/>
          <w:sz w:val="24"/>
          <w:szCs w:val="24"/>
        </w:rPr>
        <w:t>8±2.6</w:t>
      </w:r>
      <w:r>
        <w:rPr>
          <w:color w:val="000000"/>
          <w:spacing w:val="0"/>
          <w:w w:val="100"/>
          <w:position w:val="0"/>
        </w:rPr>
        <w:t>年。经统计学检验各项差异无显著性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（P&gt;0.05）. 2. </w:t>
      </w:r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治疗前两组睡眠状况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见表</w:t>
      </w:r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。治疗前，两组在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PSQI</w:t>
      </w:r>
      <w:r>
        <w:rPr>
          <w:color w:val="000000"/>
          <w:spacing w:val="0"/>
          <w:w w:val="100"/>
          <w:position w:val="0"/>
        </w:rPr>
        <w:t>总分及各单项因子分上差异无显著性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（P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〉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0.05）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tbl>
      <w:tblPr>
        <w:tblOverlap w:val="never"/>
        <w:jc w:val="center"/>
        <w:tblLayout w:type="fixed"/>
      </w:tblPr>
      <w:tblGrid>
        <w:gridCol w:w="1272"/>
        <w:gridCol w:w="1853"/>
        <w:gridCol w:w="2122"/>
        <w:gridCol w:w="1954"/>
        <w:gridCol w:w="1301"/>
      </w:tblGrid>
      <w:tr>
        <w:trPr>
          <w:trHeight w:val="288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表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治疗组与对照组治疗前睡眠状况的比较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(X±5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)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治疗组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（n=80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例）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对照组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（n=84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例）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值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值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PSQI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总分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44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CN" w:eastAsia="zh-CN" w:bidi="zh-CN"/>
              </w:rPr>
              <w:t xml:space="preserve">+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2.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933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02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±3.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0.43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P&gt;0. 05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睡眠质量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1.75 ±0.61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1.67 + 0.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P〉Q 05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入睡时间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1.65±0.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1.58 + 0.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P&gt;0. 05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睡眠时间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1.91+0.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1.80±0.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P&gt;0.05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睡眠效率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92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±1.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76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±1.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P&gt;0. 05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睡眠障碍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1.62±0.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1.55 + 0.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P&gt;0. 05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安眠药物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34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29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P&gt;0. 05</w:t>
            </w:r>
          </w:p>
        </w:tc>
      </w:tr>
      <w:tr>
        <w:trPr>
          <w:trHeight w:val="341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日间功能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2.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24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75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2.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38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-0. 30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P&gt;0. 05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2. </w:t>
      </w:r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治疗前两组身心症状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82" w:right="1406" w:bottom="1237" w:left="78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160" w:right="0" w:firstLine="0"/>
        <w:jc w:val="both"/>
      </w:pPr>
      <w:r>
        <w:rPr>
          <w:color w:val="000000"/>
          <w:spacing w:val="0"/>
          <w:w w:val="100"/>
          <w:position w:val="0"/>
        </w:rPr>
        <w:t>见表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3o</w:t>
      </w:r>
      <w:r>
        <w:rPr>
          <w:color w:val="000000"/>
          <w:spacing w:val="0"/>
          <w:w w:val="100"/>
          <w:position w:val="0"/>
        </w:rPr>
        <w:t>治疗组与对照组各因子分比较差异无统计学意义。和国内常模比较，两组除人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4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际关系因子外，其他各因子比较差异均有显著性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(P&gt;0.05)°</w:t>
      </w:r>
    </w:p>
    <w:tbl>
      <w:tblPr>
        <w:tblOverlap w:val="never"/>
        <w:jc w:val="center"/>
        <w:tblLayout w:type="fixed"/>
      </w:tblPr>
      <w:tblGrid>
        <w:gridCol w:w="1512"/>
        <w:gridCol w:w="1867"/>
        <w:gridCol w:w="1310"/>
        <w:gridCol w:w="1570"/>
        <w:gridCol w:w="1699"/>
        <w:gridCol w:w="1853"/>
      </w:tblGrid>
      <w:tr>
        <w:trPr>
          <w:trHeight w:val="288" w:hRule="exact"/>
        </w:trPr>
        <w:tc>
          <w:tcPr>
            <w:gridSpan w:val="6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237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表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治疗前治疗组、对照组与全国常模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SCL-90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各因子的比较</w:t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(jf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CN" w:eastAsia="zh-CN" w:bidi="zh-CN"/>
              </w:rPr>
              <w:t>土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S)</w:t>
            </w:r>
          </w:p>
        </w:tc>
      </w:tr>
      <w:tr>
        <w:trPr>
          <w:trHeight w:val="34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治疗组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(n=80)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对照组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(n=84)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32" w:val="left"/>
              </w:tabs>
              <w:bidi w:val="0"/>
              <w:spacing w:before="0" w:after="4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全国常模</w:t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_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(n=1388)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值</w:t>
            </w:r>
          </w:p>
        </w:tc>
      </w:tr>
      <w:tr>
        <w:trPr>
          <w:trHeight w:val="33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治疗组与常模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对照组与常模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躯体化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1.84±0.51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1.90±0.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52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1.37+0. 48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 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 01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强迫症状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1.92±0. 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2.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1.62±0. 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 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 01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人际关系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73±0. 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 71 + 0.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1.65±0.61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P&gt;0. 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P&gt;0. 05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抑郁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1.77±0.51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1.84±0.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1.5±0. 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P&lt;0.01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焦虑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1.62±0. 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L71±0. 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1.39±0. 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 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P&lt;0.01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敌对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1.69±0. 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1.80±0. 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1.46±0. 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 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 01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恐怖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1.39±0. 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1.40±0. 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1.23+0.41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 01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偏执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1.54±0. 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1.57 + 0.51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1.43±0. 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 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 05</w:t>
            </w:r>
          </w:p>
        </w:tc>
      </w:tr>
      <w:tr>
        <w:trPr>
          <w:trHeight w:val="350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精神病性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1.45±0. 39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1.49±0. 45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1.29±0. 42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P&lt;0. 01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2. 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</w:rPr>
        <w:t>治疗前两组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PSQI</w:t>
      </w:r>
      <w:r>
        <w:rPr>
          <w:color w:val="000000"/>
          <w:spacing w:val="0"/>
          <w:w w:val="100"/>
          <w:position w:val="0"/>
        </w:rPr>
        <w:t>与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SCL-90</w:t>
      </w:r>
      <w:r>
        <w:rPr>
          <w:color w:val="000000"/>
          <w:spacing w:val="0"/>
          <w:w w:val="100"/>
          <w:position w:val="0"/>
        </w:rPr>
        <w:t>量表因子之间的相关性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70" w:lineRule="exact"/>
        <w:ind w:left="740" w:right="0" w:firstLine="420"/>
        <w:jc w:val="both"/>
      </w:pPr>
      <w:r>
        <w:rPr>
          <w:color w:val="000000"/>
          <w:spacing w:val="0"/>
          <w:w w:val="100"/>
          <w:position w:val="0"/>
        </w:rPr>
        <w:t>见表</w:t>
      </w: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</w:rPr>
        <w:t>。从结果中可见，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PSQI</w:t>
      </w:r>
      <w:r>
        <w:rPr>
          <w:color w:val="000000"/>
          <w:spacing w:val="0"/>
          <w:w w:val="100"/>
          <w:position w:val="0"/>
        </w:rPr>
        <w:t>各因子与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SCL-90</w:t>
      </w:r>
      <w:r>
        <w:rPr>
          <w:color w:val="000000"/>
          <w:spacing w:val="0"/>
          <w:w w:val="100"/>
          <w:position w:val="0"/>
        </w:rPr>
        <w:t>各因子之间存在一定的相关性。睡眠障碍 因子与躯体化、抑郁、焦虑等所有</w:t>
      </w:r>
      <w:r>
        <w:rPr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</w:rPr>
        <w:t>项因子均有正相关，相关系数在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0.224-0.448</w:t>
      </w:r>
      <w:r>
        <w:rPr>
          <w:color w:val="000000"/>
          <w:spacing w:val="0"/>
          <w:w w:val="100"/>
          <w:position w:val="0"/>
        </w:rPr>
        <w:t xml:space="preserve">之间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(P&lt;0.01)</w:t>
      </w:r>
      <w:r>
        <w:rPr>
          <w:color w:val="000000"/>
          <w:spacing w:val="0"/>
          <w:w w:val="100"/>
          <w:position w:val="0"/>
          <w:sz w:val="24"/>
          <w:szCs w:val="24"/>
          <w:vertAlign w:val="subscript"/>
          <w:lang w:val="en-US" w:eastAsia="en-US" w:bidi="en-US"/>
        </w:rPr>
        <w:t>;</w:t>
      </w:r>
      <w:r>
        <w:rPr>
          <w:color w:val="000000"/>
          <w:spacing w:val="0"/>
          <w:w w:val="100"/>
          <w:position w:val="0"/>
        </w:rPr>
        <w:t>睡眠质量因子与人际关系因子、入睡时间因子与恐怖和偏执因子、日间功能障碍 因子与敌对因子均有不同程度的正相关，相关系数在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0. 202-0. </w:t>
      </w:r>
      <w:r>
        <w:rPr>
          <w:color w:val="000000"/>
          <w:spacing w:val="0"/>
          <w:w w:val="100"/>
          <w:position w:val="0"/>
          <w:sz w:val="24"/>
          <w:szCs w:val="24"/>
        </w:rPr>
        <w:t>261</w:t>
      </w:r>
      <w:r>
        <w:rPr>
          <w:color w:val="000000"/>
          <w:spacing w:val="0"/>
          <w:w w:val="100"/>
          <w:position w:val="0"/>
        </w:rPr>
        <w:t>之间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(P&lt;0. </w:t>
      </w:r>
      <w:r>
        <w:rPr>
          <w:color w:val="000000"/>
          <w:spacing w:val="0"/>
          <w:w w:val="100"/>
          <w:position w:val="0"/>
          <w:sz w:val="24"/>
          <w:szCs w:val="24"/>
        </w:rPr>
        <w:t>01)</w:t>
      </w:r>
      <w:r>
        <w:rPr>
          <w:color w:val="000000"/>
          <w:spacing w:val="0"/>
          <w:w w:val="100"/>
          <w:position w:val="0"/>
        </w:rPr>
        <w:t>。</w:t>
      </w:r>
    </w:p>
    <w:tbl>
      <w:tblPr>
        <w:tblOverlap w:val="never"/>
        <w:jc w:val="center"/>
        <w:tblLayout w:type="fixed"/>
      </w:tblPr>
      <w:tblGrid>
        <w:gridCol w:w="1310"/>
        <w:gridCol w:w="917"/>
        <w:gridCol w:w="878"/>
        <w:gridCol w:w="874"/>
        <w:gridCol w:w="869"/>
        <w:gridCol w:w="864"/>
        <w:gridCol w:w="792"/>
        <w:gridCol w:w="936"/>
        <w:gridCol w:w="869"/>
        <w:gridCol w:w="912"/>
        <w:gridCol w:w="1066"/>
      </w:tblGrid>
      <w:tr>
        <w:trPr>
          <w:trHeight w:val="317" w:hRule="exact"/>
        </w:trPr>
        <w:tc>
          <w:tcPr>
            <w:gridSpan w:val="5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表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睡眠障碍者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PSQI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与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SCL-90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的相关性分析</w:t>
            </w:r>
          </w:p>
        </w:tc>
        <w:tc>
          <w:tcPr>
            <w:gridSpan w:val="5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(r)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♦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p&lt;0.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**p&lt;0.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14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躯体 化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强迫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人际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关系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抑郁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焦虑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敌对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恐怖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偏执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精神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病性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睡眠质量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168*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206**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0.161*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180*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0.186*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0.158*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2.4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治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入睡时间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171*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197*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183*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224**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0.222**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0.192*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疗后两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睡眠时间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0.051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0.087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-0.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030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睡眠效率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-0.017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-0.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-0.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-0.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-0.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-0.011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组的睡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睡眠障碍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428**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367**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395**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325**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380**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224**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0.368**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0.361**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383**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眠状况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安眠药物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0.196*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0.088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095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-0.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0.119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110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日间功能障碍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126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191*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143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0. 141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118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261**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079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0.176*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比较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8118" w:val="left"/>
        </w:tabs>
        <w:bidi w:val="0"/>
        <w:spacing w:before="0" w:after="60" w:line="326" w:lineRule="exact"/>
        <w:ind w:left="740" w:right="0" w:firstLine="420"/>
        <w:jc w:val="both"/>
      </w:pPr>
      <w:r>
        <w:rPr>
          <w:color w:val="000000"/>
          <w:spacing w:val="0"/>
          <w:w w:val="100"/>
          <w:position w:val="0"/>
        </w:rPr>
        <w:t>见表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5</w:t>
      </w:r>
      <w:r>
        <w:rPr>
          <w:color w:val="000000"/>
          <w:spacing w:val="0"/>
          <w:w w:val="100"/>
          <w:position w:val="0"/>
          <w:sz w:val="24"/>
          <w:szCs w:val="24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治疗后两组相比：治疗组在总分、睡眠质量因子、日间功能障碍因子和睡眠障 碍因子上的得分低与对照组，差异有显著性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(PC0.05)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两组在入睡时间、睡眠时间、睡眠 效率及安眠药物服用因子的得分上无统计学差异。</w:t>
        <w:tab/>
        <w:t>/</w:t>
      </w:r>
    </w:p>
    <w:tbl>
      <w:tblPr>
        <w:tblOverlap w:val="never"/>
        <w:jc w:val="center"/>
        <w:tblLayout w:type="fixed"/>
      </w:tblPr>
      <w:tblGrid>
        <w:gridCol w:w="1608"/>
        <w:gridCol w:w="1800"/>
        <w:gridCol w:w="2078"/>
        <w:gridCol w:w="1555"/>
        <w:gridCol w:w="1474"/>
      </w:tblGrid>
      <w:tr>
        <w:trPr>
          <w:trHeight w:val="288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表5治疗后治疗组与对照组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PSQI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得分的比较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(X±5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)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项目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治疗组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(n=80)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对照组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(n=84)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值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值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PSQI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总分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6.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74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±2.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52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8. 14±3. 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-2.76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&lt;0.05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睡眠质量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94 + 0.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1.42 + 0. 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-5. 09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&lt;0.01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入睡时间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 14±0.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1.31 + 0. 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-1.13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&gt;0. 05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睡眠时间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1.44±0.81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1.44±0. 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-0. 06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&gt;0.05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睡眠效率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0.71±0.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58 ±0. 95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-1. 16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&gt;0. 05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睡眠障碍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 14 + 0.41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1.36±0.61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-2. 70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&lt;0. 05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安眠药物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13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 23 ±0. 66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&gt;0. 05</w:t>
            </w:r>
          </w:p>
        </w:tc>
      </w:tr>
      <w:tr>
        <w:trPr>
          <w:trHeight w:val="341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日间功能障碍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1.25±0.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1.88±0. 88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-4.90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&lt;0.01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40"/>
        <w:jc w:val="both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82" w:right="1406" w:bottom="1237" w:left="78" w:header="0" w:footer="3" w:gutter="0"/>
          <w:pgNumType w:start="29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2.5</w:t>
      </w:r>
      <w:r>
        <w:rPr>
          <w:color w:val="000000"/>
          <w:spacing w:val="0"/>
          <w:w w:val="100"/>
          <w:position w:val="0"/>
        </w:rPr>
        <w:t>治疗后两组身心症状的比较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36" w:lineRule="exact"/>
        <w:ind w:left="540" w:right="0" w:firstLine="480"/>
        <w:jc w:val="both"/>
      </w:pPr>
      <w:r>
        <w:rPr>
          <w:color w:val="000000"/>
          <w:spacing w:val="0"/>
          <w:w w:val="100"/>
          <w:position w:val="0"/>
        </w:rPr>
        <w:t>见衣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6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。</w:t>
      </w:r>
      <w:r>
        <w:rPr>
          <w:color w:val="000000"/>
          <w:spacing w:val="0"/>
          <w:w w:val="100"/>
          <w:position w:val="0"/>
        </w:rPr>
        <w:t>汩，了后汩］了组与対照组任览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LTU</w:t>
      </w:r>
      <w:r>
        <w:rPr>
          <w:color w:val="000000"/>
          <w:spacing w:val="0"/>
          <w:w w:val="100"/>
          <w:position w:val="0"/>
        </w:rPr>
        <w:t>倚力旳</w:t>
      </w:r>
      <w:r>
        <w:rPr>
          <w:color w:val="000000"/>
          <w:spacing w:val="0"/>
          <w:w w:val="100"/>
          <w:position w:val="0"/>
          <w:lang w:val="zh-CN" w:eastAsia="zh-CN" w:bidi="zh-CN"/>
        </w:rPr>
        <w:t>氏我甲</w:t>
      </w:r>
      <w:r>
        <w:rPr>
          <w:color w:val="000000"/>
          <w:spacing w:val="0"/>
          <w:w w:val="100"/>
          <w:position w:val="0"/>
        </w:rPr>
        <w:t>％兄，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>冶」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"H</w:t>
      </w:r>
      <w:r>
        <w:rPr>
          <w:color w:val="000000"/>
          <w:spacing w:val="0"/>
          <w:w w:val="100"/>
          <w:position w:val="0"/>
        </w:rPr>
        <w:t>际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</w:rPr>
        <w:t>任八孙天尔、 恐怖和精神病性这三个因子的得分与对照组相比无统计学差异，其它各项因子的得分与对照 组相比差异有显著性。</w:t>
      </w:r>
    </w:p>
    <w:tbl>
      <w:tblPr>
        <w:tblOverlap w:val="never"/>
        <w:jc w:val="center"/>
        <w:tblLayout w:type="fixed"/>
      </w:tblPr>
      <w:tblGrid>
        <w:gridCol w:w="1493"/>
        <w:gridCol w:w="1920"/>
        <w:gridCol w:w="2050"/>
        <w:gridCol w:w="1666"/>
        <w:gridCol w:w="1392"/>
      </w:tblGrid>
      <w:tr>
        <w:trPr>
          <w:trHeight w:val="283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表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治疗后治疗组与对照组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SCL-90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得分的比较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(X±5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)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项目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治疗组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(n=80)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对照组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(n=84)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值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值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SCL-90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总分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32.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28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±22.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48. 26±34. 45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-2. 994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&lt;0. 05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躯体化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1.46±0.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1.72 + 0. 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-3. 682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&lt;0. 05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强迫症状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1.50±0.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1.71±0. 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-2.848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&lt;0. 05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人际关系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1.40+0.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1.49±0. 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-1.151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&gt;0. 05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抑郁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1.38±0.30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1.60±0. 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-2. 743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&lt;0.05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焦虑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1.30±0. 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1.51±0. 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-3. 142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&lt;0. 05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敌对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1.35±0. 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1.54+0. 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-3.332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&lt;0.05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恐怖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1.15+0.22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1.28±0.47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-1. 182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&gt;0. 05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偏执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1.24 + 0. 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1.36+0. 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-2. 273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&lt;0. 05</w:t>
            </w:r>
          </w:p>
        </w:tc>
      </w:tr>
      <w:tr>
        <w:trPr>
          <w:trHeight w:val="346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精神病性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1.21+0.25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1.30±0. 35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-1.532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&gt;0. 05</w:t>
            </w:r>
          </w:p>
        </w:tc>
      </w:tr>
    </w:tbl>
    <w:p>
      <w:pPr>
        <w:widowControl w:val="0"/>
        <w:spacing w:after="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</w:rPr>
        <w:t>讨论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4" w:lineRule="exact"/>
        <w:ind w:left="540" w:right="0" w:firstLine="48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2002</w:t>
      </w:r>
      <w:r>
        <w:rPr>
          <w:color w:val="000000"/>
          <w:spacing w:val="0"/>
          <w:w w:val="100"/>
          <w:position w:val="0"/>
        </w:rPr>
        <w:t>年进行的一项全球睡眠流行病学问卷调查显示，我国有</w:t>
      </w:r>
      <w:r>
        <w:rPr>
          <w:color w:val="000000"/>
          <w:spacing w:val="0"/>
          <w:w w:val="100"/>
          <w:position w:val="0"/>
          <w:sz w:val="24"/>
          <w:szCs w:val="24"/>
        </w:rPr>
        <w:t>26%</w:t>
      </w:r>
      <w:r>
        <w:rPr>
          <w:color w:val="000000"/>
          <w:spacing w:val="0"/>
          <w:w w:val="100"/>
          <w:position w:val="0"/>
        </w:rPr>
        <w:t>的被调査者自认为有睡 眠障碍'七睡眠障碍患者到医院就诊时，大多被给予各类安眠药物治疗。但是，长期服用安 眠药物不仅会造成生理性药物依赖，还影响到患者的日间功能。部分患者即使连续服用安眠 药，睡眠状态也会逐渐恢复到服药前的失眠水平⑸。近年来国内外感兴趣的是药物与非药物 的结合治疗，较受推崇的是认知行为疗法与安眠药物治疗相结合的治疗。而音乐治疗作为一 种新兴的疗法，已有改善睡眠质量方面的临床应用粉。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4" w:lineRule="exact"/>
        <w:ind w:left="540" w:right="0" w:firstLine="480"/>
        <w:jc w:val="left"/>
      </w:pPr>
      <w:r>
        <w:rPr>
          <w:color w:val="000000"/>
          <w:spacing w:val="0"/>
          <w:w w:val="100"/>
          <w:position w:val="0"/>
        </w:rPr>
        <w:t>本研究结果表明，体感振动音乐疗法可以改善睡眠状况。治疗组睡眠障碍的改善明显好 于单纯进行健康宣教的对照组，主要表现在睡眠质量因子、睡眠障碍因子及日间功能障碍因 子上。可见其疗效的产生是通过提高睡眠质量，减少睡眠障碍的发生和降低日间功能障碍来 实现的。这与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Johnson</w:t>
      </w:r>
      <w:r>
        <w:rPr>
          <w:color w:val="000000"/>
          <w:spacing w:val="0"/>
          <w:w w:val="100"/>
          <w:position w:val="0"/>
        </w:rPr>
        <w:t>的研究结果运用个性化的音乐治疗可以缩短进入睡眠的时间，减少夜 间觉醒的次数，提高睡眠的满意程度相一致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484" w:lineRule="exact"/>
        <w:ind w:left="540" w:right="0" w:firstLine="480"/>
        <w:jc w:val="left"/>
      </w:pPr>
      <w:r>
        <w:rPr>
          <w:color w:val="000000"/>
          <w:spacing w:val="0"/>
          <w:w w:val="100"/>
          <w:position w:val="0"/>
        </w:rPr>
        <w:t>两组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SCL-90</w:t>
      </w:r>
      <w:r>
        <w:rPr>
          <w:color w:val="000000"/>
          <w:spacing w:val="0"/>
          <w:w w:val="100"/>
          <w:position w:val="0"/>
        </w:rPr>
        <w:t xml:space="preserve">各个因子与全国常模的比较表明，睡眠障碍者较正常成人存在更多的身心 症状，包括躯体化、强迫症状、抑郁、焦虑、敌对、恐怖、偏执、精神病性等。同时通过对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PSQI</w:t>
      </w:r>
      <w:r>
        <w:rPr>
          <w:color w:val="000000"/>
          <w:spacing w:val="0"/>
          <w:w w:val="100"/>
          <w:position w:val="0"/>
        </w:rPr>
        <w:t>与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SCL-90</w:t>
      </w:r>
      <w:r>
        <w:rPr>
          <w:color w:val="000000"/>
          <w:spacing w:val="0"/>
          <w:w w:val="100"/>
          <w:position w:val="0"/>
        </w:rPr>
        <w:t>的相关性分析，两者之间存在一定的相关性。睡眠障碍因子与躯体化、抑郁、 焦虑等九项因子有相关性；睡眠质量因子与人际关系敏感因子；入睡时间因子与恐怖、偏执 因子；日间功能障碍与敌对因子有相关性。其中睡眠障碍因子与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SCL-90</w:t>
      </w:r>
      <w:r>
        <w:rPr>
          <w:color w:val="000000"/>
          <w:spacing w:val="0"/>
          <w:w w:val="100"/>
          <w:position w:val="0"/>
        </w:rPr>
        <w:t>各因子的相关性明 显高于其它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PSQI</w:t>
      </w:r>
      <w:r>
        <w:rPr>
          <w:color w:val="000000"/>
          <w:spacing w:val="0"/>
          <w:w w:val="100"/>
          <w:position w:val="0"/>
        </w:rPr>
        <w:t>成分中的因子。由此说明，睡眠障碍发生的同时多伴有身心症状。根据本 研究的结果，治疗后治疗组在躯体化、强迫症状、抑郁、焦虑、敌对和偏执上得分低于对照 组，差异有统计学意义，表明体感振动音乐疗法在改善睡眠状况的同时，也在一定程度上缓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/>
        <w:jc w:val="left"/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82" w:right="1406" w:bottom="1237" w:left="78" w:header="0" w:footer="3" w:gutter="0"/>
          <w:pgNumType w:start="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30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4" w:lineRule="exact"/>
        <w:ind w:left="780" w:right="0" w:firstLine="0"/>
        <w:jc w:val="both"/>
      </w:pPr>
      <w:r>
        <w:rPr>
          <w:color w:val="000000"/>
          <w:spacing w:val="0"/>
          <w:w w:val="100"/>
          <w:position w:val="0"/>
        </w:rPr>
        <w:t>解了抑郁、焦虑、躯体化、敌对和偏执症状。但本研究未作该疗法的长期疗效评估，因此对 睡眠及身心症状的远期效果还有待确定。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4" w:lineRule="exact"/>
        <w:ind w:left="780" w:right="0" w:firstLine="460"/>
        <w:jc w:val="both"/>
      </w:pPr>
      <w:r>
        <w:rPr>
          <w:color w:val="000000"/>
          <w:spacing w:val="0"/>
          <w:w w:val="100"/>
          <w:position w:val="0"/>
        </w:rPr>
        <w:t>音乐疗法已在临床许多领域得到研究和应用，但对其产生身心效应的原理及机制并不清 楚。目前研究认为其疗效可能是在神经生理、心理及物理性影响这三方面起作用的。从神经 生理的角度上讲，音乐可以通过人的听觉作用于人的大脑边缘系统及脑干网状结构，调节大 脑皮质，使人体的内脏活动及情绪与行为有良好的协调作用。当音乐声波作用于大脑时，会 提高神经和神经体液的兴奋性，促进人体分泌有利健康的生化物质。音乐对心理的影响主要 是通过对情绪的影响来实现的。物理性影响即音响振动作用于人体各部位时，促进各器官节 律趋于协调一致，从而改善了各器官的紊乱状态，以解除疾病，促进康复。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00" w:line="484" w:lineRule="exact"/>
        <w:ind w:left="780" w:right="0" w:firstLine="360"/>
        <w:jc w:val="both"/>
      </w:pPr>
      <w:r>
        <w:rPr>
          <w:color w:val="000000"/>
          <w:spacing w:val="0"/>
          <w:w w:val="100"/>
          <w:position w:val="0"/>
        </w:rPr>
        <w:t>本研究表明，体感振动音乐疗法改善睡眠状况及身心症状的疗效是明确的。睡眠障碍主 要是睡眠的结构和进程出现紊乱。引起睡眠障碍的原因很多，总体来讲，造成睡眠障碍的原 因有心理行为障碍造成的、精神疾病造成的、躯体疾病伴发的、药物引发等等。其中心理、 精神因素和睡眠习惯不良是临床睡眠障碍最常见的原因。而该疗法在改善睡眠状况的同时能 对伴发的身心症状进行调解，特别是对伴发的心理症状有很好的治疗作用。一方面通过消除 引发睡眠障碍的诱因来改善睡眠状况，另一方面对睡眠障碍有直接的治疗作用，还可与药物 治疗相结合使用。它是一种能同时缓解和改善身心两方面症状的、无损伤性的、简单易行的 艺术疗法⑺。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细胞凋亡检测方法探讨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崔巍'王硕仁'唐炳华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  <w:sz w:val="20"/>
          <w:szCs w:val="20"/>
        </w:rPr>
        <w:t>国家教育部中医内科学重点实验室（北京中医药大学），北京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100700</w:t>
      </w:r>
      <w:r>
        <w:rPr>
          <w:color w:val="000000"/>
          <w:spacing w:val="0"/>
          <w:w w:val="100"/>
          <w:position w:val="0"/>
          <w:sz w:val="20"/>
          <w:szCs w:val="20"/>
        </w:rPr>
        <w:t>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  <w:sz w:val="20"/>
          <w:szCs w:val="20"/>
        </w:rPr>
        <w:t>北京中医药大学基础医学院人体机能系，北京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100029</w:t>
      </w:r>
      <w:r>
        <w:rPr>
          <w:color w:val="000000"/>
          <w:spacing w:val="0"/>
          <w:w w:val="100"/>
          <w:position w:val="0"/>
          <w:sz w:val="20"/>
          <w:szCs w:val="20"/>
        </w:rPr>
        <w:t>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79" w:lineRule="exact"/>
        <w:ind w:left="780" w:right="0" w:firstLine="100"/>
        <w:jc w:val="both"/>
      </w:pPr>
      <w:r>
        <w:rPr>
          <w:color w:val="000000"/>
          <w:spacing w:val="0"/>
          <w:w w:val="100"/>
          <w:position w:val="0"/>
        </w:rPr>
        <w:t>【摘要】目的：以文献报道及多年实践经验为基础，对细胞凋亡的各种检测方法及试用范围 进行分析，寻找最佳技术途径。方法：釆用图例法和比较法对比分析细胞凋亡检测结果并说 明其意义。结果：细胞凋亡检测方法很多，测试者应根据具体情况选择测定指标。结论：单 一检测指标不能准确反映凋亡数量，应选择二至三项指标综合分析才能得岀较为可靠的结 果。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79" w:lineRule="exact"/>
        <w:ind w:left="0" w:right="0" w:firstLine="880"/>
        <w:jc w:val="both"/>
      </w:pPr>
      <w:r>
        <w:rPr>
          <w:color w:val="000000"/>
          <w:spacing w:val="0"/>
          <w:w w:val="100"/>
          <w:position w:val="0"/>
        </w:rPr>
        <w:t>【关键词】细胞凋亡；检测方法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479" w:lineRule="exact"/>
        <w:ind w:left="780" w:right="0" w:firstLine="460"/>
        <w:jc w:val="both"/>
      </w:pPr>
      <w:r>
        <w:rPr>
          <w:color w:val="000000"/>
          <w:spacing w:val="0"/>
          <w:w w:val="100"/>
          <w:position w:val="0"/>
        </w:rPr>
        <w:t>细胞凋亡，又称细胞程序性死亡，是指细胞在一定的生理或病理条件下，遵循自身的程 序，自己结束其生命的过程。细胞凋亡是一个主动的、受基因控制的、高度有序的一系列生</w:t>
      </w:r>
    </w:p>
    <w:sectPr>
      <w:footerReference w:type="default" r:id="rId11"/>
      <w:footnotePr>
        <w:pos w:val="pageBottom"/>
        <w:numFmt w:val="decimal"/>
        <w:numRestart w:val="continuous"/>
      </w:footnotePr>
      <w:pgSz w:w="11900" w:h="16840"/>
      <w:pgMar w:top="182" w:right="1406" w:bottom="1237" w:left="78" w:header="0" w:footer="3" w:gutter="0"/>
      <w:pgNumType w:start="3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6231255</wp:posOffset>
              </wp:positionH>
              <wp:positionV relativeFrom="page">
                <wp:posOffset>9986645</wp:posOffset>
              </wp:positionV>
              <wp:extent cx="106680" cy="7937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68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0.65000000000003pt;margin-top:786.35000000000002pt;width:8.4000000000000004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89535</wp:posOffset>
              </wp:positionH>
              <wp:positionV relativeFrom="page">
                <wp:posOffset>10520045</wp:posOffset>
              </wp:positionV>
              <wp:extent cx="6038215" cy="12509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821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 1994-2021 China Academic Journal Electronic Publishing House. All rights reserved, http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7.0499999999999998pt;margin-top:828.35000000000002pt;width:475.44999999999999pt;height:9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 1994-2021 China Academic Journal Electronic Publishing House. All rights reserved, http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299720</wp:posOffset>
              </wp:positionH>
              <wp:positionV relativeFrom="page">
                <wp:posOffset>10222865</wp:posOffset>
              </wp:positionV>
              <wp:extent cx="6038215" cy="125095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821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 1994-2021 China Academic Journal Electronic Publishing House. All rights reserved, http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3.600000000000001pt;margin-top:804.95000000000005pt;width:475.44999999999999pt;height:9.8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 1994-2021 China Academic Journal Electronic Publishing House. All rights reserved, http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6231255</wp:posOffset>
              </wp:positionH>
              <wp:positionV relativeFrom="page">
                <wp:posOffset>9986645</wp:posOffset>
              </wp:positionV>
              <wp:extent cx="106680" cy="7937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68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490.65000000000003pt;margin-top:786.35000000000002pt;width:8.4000000000000004pt;height:6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89535</wp:posOffset>
              </wp:positionH>
              <wp:positionV relativeFrom="page">
                <wp:posOffset>10520045</wp:posOffset>
              </wp:positionV>
              <wp:extent cx="6038215" cy="12509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821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 1994-2021 China Academic Journal Electronic Publishing House. All rights reserved, http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7.0499999999999998pt;margin-top:828.35000000000002pt;width:475.44999999999999pt;height:9.84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 1994-2021 China Academic Journal Electronic Publishing House. All rights reserved, http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299720</wp:posOffset>
              </wp:positionH>
              <wp:positionV relativeFrom="page">
                <wp:posOffset>10222865</wp:posOffset>
              </wp:positionV>
              <wp:extent cx="6038215" cy="12509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821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 1994-2021 China Academic Journal Electronic Publishing House. All rights reserved, http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23.600000000000001pt;margin-top:804.95000000000005pt;width:475.44999999999999pt;height:9.84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 1994-2021 China Academic Journal Electronic Publishing House. All rights reserved, http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6231255</wp:posOffset>
              </wp:positionH>
              <wp:positionV relativeFrom="page">
                <wp:posOffset>9986645</wp:posOffset>
              </wp:positionV>
              <wp:extent cx="106680" cy="79375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68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490.65000000000003pt;margin-top:786.35000000000002pt;width:8.4000000000000004pt;height:6.2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89535</wp:posOffset>
              </wp:positionH>
              <wp:positionV relativeFrom="page">
                <wp:posOffset>10520045</wp:posOffset>
              </wp:positionV>
              <wp:extent cx="6038215" cy="12509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821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 1994-2021 China Academic Journal Electronic Publishing House. All rights reserved, http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7.0499999999999998pt;margin-top:828.35000000000002pt;width:475.44999999999999pt;height:9.8499999999999996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 1994-2021 China Academic Journal Electronic Publishing House. All rights reserved, http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0">
    <w:name w:val="Picture caption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12">
    <w:name w:val="Heading #1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5">
    <w:name w:val="Table caption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8">
    <w:name w:val="Other|1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3">
    <w:name w:val="Body text|2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451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9">
    <w:name w:val="Picture caption|1"/>
    <w:basedOn w:val="Normal"/>
    <w:link w:val="CharStyle10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11">
    <w:name w:val="Heading #1|1"/>
    <w:basedOn w:val="Normal"/>
    <w:link w:val="CharStyle12"/>
    <w:pPr>
      <w:widowControl w:val="0"/>
      <w:shd w:val="clear" w:color="auto" w:fill="auto"/>
      <w:spacing w:after="16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4">
    <w:name w:val="Table caption|1"/>
    <w:basedOn w:val="Normal"/>
    <w:link w:val="CharStyle1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7">
    <w:name w:val="Other|1"/>
    <w:basedOn w:val="Normal"/>
    <w:link w:val="CharStyle18"/>
    <w:pPr>
      <w:widowControl w:val="0"/>
      <w:shd w:val="clear" w:color="auto" w:fill="auto"/>
      <w:spacing w:line="451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2">
    <w:name w:val="Body text|2"/>
    <w:basedOn w:val="Normal"/>
    <w:link w:val="CharStyle23"/>
    <w:pPr>
      <w:widowControl w:val="0"/>
      <w:shd w:val="clear" w:color="auto" w:fill="auto"/>
      <w:spacing w:after="80"/>
      <w:ind w:firstLine="5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/Relationships>
</file>